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341A" w14:textId="6275676A" w:rsidR="00656D01" w:rsidRDefault="00656D01" w:rsidP="00656D01">
      <w:pPr>
        <w:keepNext/>
        <w:keepLines/>
        <w:spacing w:before="120" w:after="120" w:line="276" w:lineRule="auto"/>
        <w:ind w:firstLine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MEZHEBE BAĞLILI</w:t>
      </w:r>
      <w:r w:rsidR="00867D9B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ĞIN ANLAMI</w:t>
      </w:r>
      <w:r w:rsidR="00495248">
        <w:rPr>
          <w:rStyle w:val="DipnotBavurusu"/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footnoteReference w:id="1"/>
      </w:r>
      <w:bookmarkStart w:id="0" w:name="_GoBack"/>
      <w:bookmarkEnd w:id="0"/>
    </w:p>
    <w:p w14:paraId="33EC6CBD" w14:textId="77777777" w:rsidR="00656D01" w:rsidRDefault="00656D01" w:rsidP="00656D01">
      <w:pPr>
        <w:keepNext/>
        <w:keepLines/>
        <w:spacing w:before="120" w:after="12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10145759" w14:textId="10404B27" w:rsidR="00656D01" w:rsidRDefault="00656D01" w:rsidP="00656D01">
      <w:pPr>
        <w:spacing w:after="0" w:line="276" w:lineRule="auto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ab/>
        <w:t xml:space="preserve">Hak bir mezhebe tutunmak, taassup değil sosyal ve dini bir ihtiyaçtır. Zira toplumda herkesin her meslekte ihtisas sahibi olmasının imkânı yoktur. İlk iki nesil (Sahabe ve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Tâbiûn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), bir bakıma suyu kaynağından içtiklerinden mezhebi oluşuma ihtiyaç duymamışlardır. Buna rağmen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</w:t>
      </w:r>
      <w:r>
        <w:rPr>
          <w:rFonts w:asciiTheme="majorBidi" w:hAnsiTheme="majorBidi" w:cstheme="majorBidi"/>
          <w:sz w:val="28"/>
          <w:szCs w:val="28"/>
        </w:rPr>
        <w:t>aklid</w:t>
      </w:r>
      <w:proofErr w:type="spellEnd"/>
      <w:r>
        <w:rPr>
          <w:rFonts w:asciiTheme="majorBidi" w:hAnsiTheme="majorBidi" w:cstheme="majorBidi"/>
          <w:sz w:val="28"/>
          <w:szCs w:val="28"/>
        </w:rPr>
        <w:t>, sahabe arasında da vuku bulmuş bir hakikattir.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2"/>
      </w:r>
      <w:r>
        <w:rPr>
          <w:rFonts w:asciiTheme="majorBidi" w:hAnsiTheme="majorBidi" w:cstheme="majorBidi"/>
          <w:sz w:val="28"/>
          <w:szCs w:val="28"/>
        </w:rPr>
        <w:t xml:space="preserve"> Sahabenin fakih olmayanları, meselelerini, fakih olanlara sorarak, aldığı cevaba göre amel etmişlerdir.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3"/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Bugünün şartlarında ise biz, suyu içmek için sağlam bir kanala tutunmak zorundayız. </w:t>
      </w:r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>Bu yüzden itikatta ve amelde hak bir mezhebe tutunmak (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>taklid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 xml:space="preserve"> etmek),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>müçtehid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 xml:space="preserve"> olmayan kimse için zorunludur.</w:t>
      </w:r>
      <w:r>
        <w:rPr>
          <w:rStyle w:val="DipnotBavurusu"/>
          <w:rFonts w:asciiTheme="majorBidi" w:hAnsiTheme="majorBidi" w:cstheme="majorBidi"/>
          <w:sz w:val="28"/>
          <w:szCs w:val="28"/>
          <w:u w:val="single"/>
        </w:rPr>
        <w:footnoteReference w:id="4"/>
      </w:r>
      <w:r>
        <w:rPr>
          <w:rFonts w:asciiTheme="majorBidi" w:hAnsiTheme="majorBidi" w:cstheme="majorBidi"/>
          <w:color w:val="222222"/>
          <w:sz w:val="28"/>
          <w:szCs w:val="28"/>
          <w:u w:val="single"/>
          <w:shd w:val="clear" w:color="auto" w:fill="FFFFFF"/>
        </w:rPr>
        <w:t xml:space="preserve"> Yoksa zehirli bir kanala sapma veya kanalların karıştırılma tehlikesi vardır.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77679CCA" w14:textId="77777777" w:rsidR="00656D01" w:rsidRDefault="00656D01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5CF6D8B5" w14:textId="77777777" w:rsidR="00656D01" w:rsidRDefault="00656D01" w:rsidP="00656D01">
      <w:pPr>
        <w:spacing w:after="0" w:line="276" w:lineRule="auto"/>
        <w:ind w:firstLine="708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Amelde mezhep olarak tarihte başkaca hak mezhepler zuhur etmişse de bunların çoğunun müntesibi kalmamıştır.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5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Bugün itibariyle kaynaklarına ulaşılabilecek ve temsilcisi bulunan ameli hak mezhepler bilinen 4 mezheptir. Bunlar; Hanefi, Şafii, Maliki ve Hanbeli mezhepleridir. Bir mümin bunlardan hangisine tutunduğunda, hakka tutunmuş olur. Dört mezhep imamlarının hepsi de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-i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Sünnet’in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kökü olan “</w:t>
      </w:r>
      <w:proofErr w:type="spellStart"/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Selefiyye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”dendir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6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04E4842E" w14:textId="77777777" w:rsidR="00656D01" w:rsidRDefault="00656D01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4DAF85D1" w14:textId="74542A3E" w:rsidR="00656D01" w:rsidRDefault="00A0675E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Bugün itibariyle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-i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Sünnet’in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itikatta iki mezhebi vardır. Onlar, “</w:t>
      </w:r>
      <w:proofErr w:type="spellStart"/>
      <w:r w:rsidRPr="001449E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Maturidilik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ve “</w:t>
      </w:r>
      <w:proofErr w:type="spellStart"/>
      <w:r w:rsidRPr="001449E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Eş</w:t>
      </w:r>
      <w:r w:rsidR="003A2892" w:rsidRPr="001449E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’a</w:t>
      </w:r>
      <w:r w:rsidRPr="001449E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rilik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”tir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Sahabe ve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Tâbiûn’un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temsil ettiği ilk “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Selefiyye”den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sonra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-i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Sünnet’in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yerini bu iki mezhep almıştır. Bunların her ikisinin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-i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Sünnet’i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temsil ettiklerini ve her ikisinin de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itikadi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hak mezhepler olduğunu kesinlikle kabul edelim. Her iki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mezheb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-i Sünnet mezhebidir. Tarihte aynı dönemde farklı coğrafyalarda İslam dünyasına öncülük etmişlerdir. Akademik birkaç nüans dışında aralarında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itikadi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yönden hiçbir fark yoktur. Bunların her birinin öğretileri İslam itikadının kendisidir.</w:t>
      </w:r>
      <w:r w:rsidR="00892934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7"/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 yüzden bunlardan 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 xml:space="preserve">birisini hakir görmek veya düşmanca bir tavır almak, Allah muhafaza kişiyi dinden çıkarır.  Son yıllarda Batı, her ikisi de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Ehl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-i Sünnet olan bu iki itikat mezhebini birbirine düşman etme sevdasına tutulmuştur. Özellikle Türk gençliği ve aydını, “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Maturidiye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Türk Mezhebi,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Eş</w:t>
      </w:r>
      <w:r w:rsidR="003A289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’a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riye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ise Arap Mezhebidir” sloganıyla güya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Maturidi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taraftarlığı adı altında </w:t>
      </w:r>
      <w:proofErr w:type="spellStart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Eş</w:t>
      </w:r>
      <w:r w:rsidR="003A289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’a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riye</w:t>
      </w:r>
      <w:proofErr w:type="spellEnd"/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üzerine kışkırtılmaktadır. Bu hakikatleri öğrenen iyi niyetli</w:t>
      </w:r>
      <w:r w:rsidR="00C9067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vatansever</w:t>
      </w:r>
      <w:r w:rsidR="00C9067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 </w:t>
      </w:r>
      <w:r w:rsidR="00C90674"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Müslüman</w:t>
      </w:r>
      <w:r w:rsidRPr="00A0675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Türk evladı, Allah’ın izniyle, Batının bu oyununa gelmeyecektir.</w:t>
      </w:r>
    </w:p>
    <w:p w14:paraId="61AD8A1A" w14:textId="77777777" w:rsidR="00656D01" w:rsidRDefault="00656D01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60DD0D7" w14:textId="77777777" w:rsidR="00656D01" w:rsidRPr="00F55E5B" w:rsidRDefault="00656D01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5E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9</w:t>
      </w:r>
      <w:r w:rsidRPr="00F55E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.08.2018</w:t>
      </w:r>
    </w:p>
    <w:p w14:paraId="1B11AA44" w14:textId="77777777" w:rsidR="00656D01" w:rsidRPr="00F55E5B" w:rsidRDefault="00656D01" w:rsidP="00656D01">
      <w:pPr>
        <w:spacing w:before="120" w:after="120" w:line="276" w:lineRule="auto"/>
        <w:ind w:firstLine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F55E5B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Dr. Ahmet GELİŞGEN</w:t>
      </w:r>
    </w:p>
    <w:p w14:paraId="7B69AC20" w14:textId="461F7660" w:rsidR="00892934" w:rsidRDefault="00656D01" w:rsidP="00892934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 w:rsidRPr="00F55E5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www.ahmetgelisgen.com</w:t>
      </w:r>
      <w:r w:rsidRPr="00F55E5B">
        <w:rPr>
          <w:rFonts w:asciiTheme="majorBidi" w:hAnsiTheme="majorBidi" w:cstheme="majorBidi"/>
          <w:color w:val="222222"/>
          <w:sz w:val="28"/>
          <w:szCs w:val="28"/>
        </w:rPr>
        <w:br/>
      </w:r>
    </w:p>
    <w:p w14:paraId="393FC1BD" w14:textId="77777777" w:rsidR="00CE1531" w:rsidRDefault="00CE1531"/>
    <w:sectPr w:rsidR="00CE1531" w:rsidSect="00495248">
      <w:head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2C516" w14:textId="77777777" w:rsidR="008A606A" w:rsidRDefault="008A606A" w:rsidP="00656D01">
      <w:pPr>
        <w:spacing w:after="0" w:line="240" w:lineRule="auto"/>
      </w:pPr>
      <w:r>
        <w:separator/>
      </w:r>
    </w:p>
  </w:endnote>
  <w:endnote w:type="continuationSeparator" w:id="0">
    <w:p w14:paraId="37CA917B" w14:textId="77777777" w:rsidR="008A606A" w:rsidRDefault="008A606A" w:rsidP="0065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5A7DD" w14:textId="77777777" w:rsidR="008A606A" w:rsidRDefault="008A606A" w:rsidP="00656D01">
      <w:pPr>
        <w:spacing w:after="0" w:line="240" w:lineRule="auto"/>
      </w:pPr>
      <w:r>
        <w:separator/>
      </w:r>
    </w:p>
  </w:footnote>
  <w:footnote w:type="continuationSeparator" w:id="0">
    <w:p w14:paraId="43A056D4" w14:textId="77777777" w:rsidR="008A606A" w:rsidRDefault="008A606A" w:rsidP="00656D01">
      <w:pPr>
        <w:spacing w:after="0" w:line="240" w:lineRule="auto"/>
      </w:pPr>
      <w:r>
        <w:continuationSeparator/>
      </w:r>
    </w:p>
  </w:footnote>
  <w:footnote w:id="1">
    <w:p w14:paraId="4D02790C" w14:textId="03D1524E" w:rsidR="00495248" w:rsidRPr="00495248" w:rsidRDefault="00495248" w:rsidP="00495248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r w:rsidR="002E6FAA" w:rsidRPr="002E6FAA">
        <w:rPr>
          <w:rFonts w:asciiTheme="majorBidi" w:hAnsiTheme="majorBidi" w:cstheme="majorBidi"/>
          <w:b/>
          <w:bCs/>
          <w:i/>
          <w:iCs/>
          <w:sz w:val="24"/>
          <w:szCs w:val="24"/>
        </w:rPr>
        <w:t>“Anadolu Platformu Sonuç Bildirisinden Teraneler</w:t>
      </w:r>
      <w:r w:rsidR="002E6FAA" w:rsidRPr="002E6FAA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  <w:r w:rsidRPr="00495248">
        <w:rPr>
          <w:rFonts w:asciiTheme="majorBidi" w:hAnsiTheme="majorBidi" w:cstheme="majorBidi"/>
          <w:sz w:val="24"/>
          <w:szCs w:val="24"/>
        </w:rPr>
        <w:t xml:space="preserve">başlıklı yazımızın bir bölümüdür. </w:t>
      </w:r>
    </w:p>
  </w:footnote>
  <w:footnote w:id="2">
    <w:p w14:paraId="18A58F86" w14:textId="77777777" w:rsidR="00656D01" w:rsidRPr="00495248" w:rsidRDefault="00656D01" w:rsidP="00495248">
      <w:pPr>
        <w:pStyle w:val="DipnotMetni"/>
        <w:tabs>
          <w:tab w:val="left" w:pos="142"/>
        </w:tabs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Şirbînî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Hâşiyetü’l-Benânî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alâ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 Şerhi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Cem’u’l-Cevâmi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’ (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Hamiş’de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), II/253.</w:t>
      </w:r>
    </w:p>
  </w:footnote>
  <w:footnote w:id="3">
    <w:p w14:paraId="227FC666" w14:textId="77777777" w:rsidR="00656D01" w:rsidRPr="00495248" w:rsidRDefault="00656D01" w:rsidP="00495248">
      <w:pPr>
        <w:pStyle w:val="DipnotMetni"/>
        <w:tabs>
          <w:tab w:val="left" w:pos="142"/>
        </w:tabs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Zekiyyüddin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Şa’bân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Usûlü’l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Fıkhi’l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-İslâmî, s. 422.</w:t>
      </w:r>
    </w:p>
  </w:footnote>
  <w:footnote w:id="4">
    <w:p w14:paraId="1AEAEBCF" w14:textId="77777777" w:rsidR="00656D01" w:rsidRPr="00495248" w:rsidRDefault="00656D01" w:rsidP="00495248">
      <w:pPr>
        <w:pStyle w:val="DipnotMetni"/>
        <w:tabs>
          <w:tab w:val="left" w:pos="142"/>
        </w:tabs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Şâtıbî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İ’tisam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, s. 479.</w:t>
      </w:r>
    </w:p>
  </w:footnote>
  <w:footnote w:id="5">
    <w:p w14:paraId="416512E1" w14:textId="77777777" w:rsidR="00656D01" w:rsidRPr="00495248" w:rsidRDefault="00656D01" w:rsidP="00495248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Abdülkerim Zeydan, el-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Medhal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>, s. 148, 149.</w:t>
      </w:r>
    </w:p>
  </w:footnote>
  <w:footnote w:id="6">
    <w:p w14:paraId="5D9221CB" w14:textId="77777777" w:rsidR="00656D01" w:rsidRPr="00495248" w:rsidRDefault="00656D01" w:rsidP="00495248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495248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4952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248">
        <w:rPr>
          <w:rFonts w:asciiTheme="majorBidi" w:hAnsiTheme="majorBidi" w:cstheme="majorBidi"/>
          <w:sz w:val="24"/>
          <w:szCs w:val="24"/>
        </w:rPr>
        <w:t>Şerafeddin</w:t>
      </w:r>
      <w:proofErr w:type="spellEnd"/>
      <w:r w:rsidRPr="00495248">
        <w:rPr>
          <w:rFonts w:asciiTheme="majorBidi" w:hAnsiTheme="majorBidi" w:cstheme="majorBidi"/>
          <w:sz w:val="24"/>
          <w:szCs w:val="24"/>
        </w:rPr>
        <w:t xml:space="preserve"> Gölcük, Süleyman Toprak, Kelam, s. 36.</w:t>
      </w:r>
    </w:p>
  </w:footnote>
  <w:footnote w:id="7">
    <w:p w14:paraId="59795BBF" w14:textId="77777777" w:rsidR="00892934" w:rsidRDefault="00892934" w:rsidP="00892934">
      <w:pPr>
        <w:pStyle w:val="DipnotMetni"/>
        <w:spacing w:before="120" w:after="120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>
        <w:rPr>
          <w:rFonts w:asciiTheme="majorBidi" w:hAnsiTheme="majorBidi" w:cstheme="majorBidi"/>
          <w:sz w:val="24"/>
          <w:szCs w:val="24"/>
        </w:rPr>
        <w:t xml:space="preserve"> Bkz. </w:t>
      </w:r>
      <w:proofErr w:type="spellStart"/>
      <w:r>
        <w:rPr>
          <w:rFonts w:asciiTheme="majorBidi" w:hAnsiTheme="majorBidi" w:cstheme="majorBidi"/>
          <w:sz w:val="24"/>
          <w:szCs w:val="24"/>
        </w:rPr>
        <w:t>Şerafeddin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Gölcük, Süleyman Toprak, Kelam, s. 36-39.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647429"/>
      <w:docPartObj>
        <w:docPartGallery w:val="Page Numbers (Top of Page)"/>
        <w:docPartUnique/>
      </w:docPartObj>
    </w:sdtPr>
    <w:sdtEndPr/>
    <w:sdtContent>
      <w:p w14:paraId="6DA48EE4" w14:textId="7E37DD45" w:rsidR="00892934" w:rsidRDefault="0089293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4E727" w14:textId="77777777" w:rsidR="00892934" w:rsidRDefault="008929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D8"/>
    <w:rsid w:val="001139E9"/>
    <w:rsid w:val="001449E5"/>
    <w:rsid w:val="002E6FAA"/>
    <w:rsid w:val="00353EAC"/>
    <w:rsid w:val="00370EB9"/>
    <w:rsid w:val="003A2892"/>
    <w:rsid w:val="00495248"/>
    <w:rsid w:val="00656D01"/>
    <w:rsid w:val="00703E18"/>
    <w:rsid w:val="00703F49"/>
    <w:rsid w:val="00867D9B"/>
    <w:rsid w:val="00892934"/>
    <w:rsid w:val="008A606A"/>
    <w:rsid w:val="009C0B23"/>
    <w:rsid w:val="00A0675E"/>
    <w:rsid w:val="00B43E9A"/>
    <w:rsid w:val="00C90674"/>
    <w:rsid w:val="00CE1531"/>
    <w:rsid w:val="00E478F3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89E5"/>
  <w15:chartTrackingRefBased/>
  <w15:docId w15:val="{BD163492-9A68-4D93-BEB5-B646CDAA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D0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56D0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56D0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56D0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9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2934"/>
  </w:style>
  <w:style w:type="paragraph" w:styleId="AltBilgi">
    <w:name w:val="footer"/>
    <w:basedOn w:val="Normal"/>
    <w:link w:val="AltBilgiChar"/>
    <w:uiPriority w:val="99"/>
    <w:unhideWhenUsed/>
    <w:rsid w:val="0089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11</cp:revision>
  <dcterms:created xsi:type="dcterms:W3CDTF">2018-08-29T22:54:00Z</dcterms:created>
  <dcterms:modified xsi:type="dcterms:W3CDTF">2018-08-30T11:18:00Z</dcterms:modified>
</cp:coreProperties>
</file>